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05552" w14:textId="77777777" w:rsidR="00402B45" w:rsidRDefault="004E5B58" w:rsidP="00402B45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u w:val="single"/>
        </w:rPr>
      </w:pPr>
      <w:r w:rsidRPr="004E5B58">
        <w:rPr>
          <w:b/>
          <w:bCs/>
          <w:sz w:val="32"/>
          <w:szCs w:val="32"/>
          <w:u w:val="single"/>
        </w:rPr>
        <w:t>QUÉBEC EN TRANSITION CONSTITUTIONNELLE (PHASE II)</w:t>
      </w:r>
    </w:p>
    <w:p w14:paraId="30C5F738" w14:textId="77777777" w:rsidR="004E5B58" w:rsidRPr="00402B45" w:rsidRDefault="004E5B58" w:rsidP="00402B45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u w:val="single"/>
        </w:rPr>
      </w:pPr>
      <w:r w:rsidRPr="00D303E7">
        <w:rPr>
          <w:rFonts w:ascii="Agency FB" w:hAnsi="Agency FB" w:cs="Arial"/>
          <w:noProof/>
          <w:sz w:val="32"/>
          <w:szCs w:val="32"/>
        </w:rPr>
        <w:drawing>
          <wp:inline distT="0" distB="0" distL="0" distR="0" wp14:anchorId="60FAC1F2" wp14:editId="68B96597">
            <wp:extent cx="881380" cy="962025"/>
            <wp:effectExtent l="0" t="0" r="0" b="9525"/>
            <wp:docPr id="4996731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13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9DD4F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I. STATUT JURIDIQUE DE LA PHASE II</w:t>
      </w:r>
    </w:p>
    <w:p w14:paraId="509C01DB" w14:textId="77777777" w:rsidR="004E5B58" w:rsidRPr="004E5B58" w:rsidRDefault="004E5B58" w:rsidP="004E5B58">
      <w:pPr>
        <w:rPr>
          <w:b/>
          <w:bCs/>
        </w:rPr>
      </w:pPr>
      <w:r>
        <w:t>Article 1 — Nature de la phase</w:t>
      </w:r>
    </w:p>
    <w:p w14:paraId="0C000674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La Phase II constitue une période de substitution progressive et contrôlée de l’ordre juridique, sans interruption de l’État ni des services essentiels.</w:t>
      </w:r>
    </w:p>
    <w:p w14:paraId="78044616" w14:textId="77777777" w:rsidR="004E5B58" w:rsidRPr="004E5B58" w:rsidRDefault="004E5B58" w:rsidP="004E5B58">
      <w:pPr>
        <w:rPr>
          <w:b/>
          <w:bCs/>
        </w:rPr>
      </w:pPr>
      <w:r>
        <w:t>Article 2 — Base de légitimité</w:t>
      </w:r>
    </w:p>
    <w:p w14:paraId="5701B1CD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La Phase II est déclenchée exclusivement par un mandat populaire explicite, juridiquement constaté et public.</w:t>
      </w:r>
    </w:p>
    <w:p w14:paraId="770EF064" w14:textId="77777777" w:rsidR="004E5B58" w:rsidRPr="004E5B58" w:rsidRDefault="004E5B58" w:rsidP="004E5B58">
      <w:pPr>
        <w:rPr>
          <w:b/>
          <w:bCs/>
        </w:rPr>
      </w:pPr>
      <w:r>
        <w:t>Article 3 — Primauté constitutionnelle progressive</w:t>
      </w:r>
    </w:p>
    <w:p w14:paraId="13293440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La Constitution du Québec entre en vigueur par blocs, selon le calendrier officiel de transition.</w:t>
      </w:r>
    </w:p>
    <w:p w14:paraId="2EC641E9" w14:textId="77777777" w:rsidR="004E5B58" w:rsidRPr="004E5B58" w:rsidRDefault="00000000" w:rsidP="004E5B58">
      <w:pPr>
        <w:rPr>
          <w:b/>
          <w:bCs/>
        </w:rPr>
      </w:pPr>
      <w:r>
        <w:rPr>
          <w:b/>
          <w:bCs/>
        </w:rPr>
        <w:pict w14:anchorId="0D62909F">
          <v:rect id="_x0000_i1025" style="width:0;height:1.5pt" o:hralign="center" o:hrstd="t" o:hr="t" fillcolor="#a0a0a0" stroked="f"/>
        </w:pict>
      </w:r>
    </w:p>
    <w:p w14:paraId="06DB4623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II. DÉCLENCHEMENT FORMEL</w:t>
      </w:r>
    </w:p>
    <w:p w14:paraId="251E72ED" w14:textId="77777777" w:rsidR="004E5B58" w:rsidRPr="004E5B58" w:rsidRDefault="004E5B58" w:rsidP="004E5B58">
      <w:pPr>
        <w:rPr>
          <w:b/>
          <w:bCs/>
        </w:rPr>
      </w:pPr>
      <w:r>
        <w:t>Article 4 — Acte de déclenchement</w:t>
      </w:r>
    </w:p>
    <w:p w14:paraId="1C2BA925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Un acte officiel constate :</w:t>
      </w:r>
    </w:p>
    <w:p w14:paraId="5204A903" w14:textId="77777777" w:rsidR="004E5B58" w:rsidRPr="004E5B58" w:rsidRDefault="004E5B58" w:rsidP="004E5B58">
      <w:pPr>
        <w:numPr>
          <w:ilvl w:val="0"/>
          <w:numId w:val="9"/>
        </w:numPr>
        <w:rPr>
          <w:b/>
          <w:bCs/>
        </w:rPr>
      </w:pPr>
      <w:proofErr w:type="gramStart"/>
      <w:r w:rsidRPr="004E5B58">
        <w:rPr>
          <w:b/>
          <w:bCs/>
        </w:rPr>
        <w:t>le</w:t>
      </w:r>
      <w:proofErr w:type="gramEnd"/>
      <w:r w:rsidRPr="004E5B58">
        <w:rPr>
          <w:b/>
          <w:bCs/>
        </w:rPr>
        <w:t xml:space="preserve"> mandat populaire ;</w:t>
      </w:r>
    </w:p>
    <w:p w14:paraId="17D4B740" w14:textId="77777777" w:rsidR="004E5B58" w:rsidRPr="004E5B58" w:rsidRDefault="004E5B58" w:rsidP="004E5B58">
      <w:pPr>
        <w:numPr>
          <w:ilvl w:val="0"/>
          <w:numId w:val="9"/>
        </w:numPr>
        <w:rPr>
          <w:b/>
          <w:bCs/>
        </w:rPr>
      </w:pPr>
      <w:proofErr w:type="gramStart"/>
      <w:r w:rsidRPr="004E5B58">
        <w:rPr>
          <w:b/>
          <w:bCs/>
        </w:rPr>
        <w:t>l’ouverture</w:t>
      </w:r>
      <w:proofErr w:type="gramEnd"/>
      <w:r w:rsidRPr="004E5B58">
        <w:rPr>
          <w:b/>
          <w:bCs/>
        </w:rPr>
        <w:t xml:space="preserve"> de la Phase II ;</w:t>
      </w:r>
    </w:p>
    <w:p w14:paraId="5686DFF3" w14:textId="77777777" w:rsidR="004E5B58" w:rsidRPr="004E5B58" w:rsidRDefault="004E5B58" w:rsidP="004E5B58">
      <w:pPr>
        <w:numPr>
          <w:ilvl w:val="0"/>
          <w:numId w:val="9"/>
        </w:numPr>
        <w:rPr>
          <w:b/>
          <w:bCs/>
        </w:rPr>
      </w:pPr>
      <w:proofErr w:type="gramStart"/>
      <w:r w:rsidRPr="004E5B58">
        <w:rPr>
          <w:b/>
          <w:bCs/>
        </w:rPr>
        <w:t>la</w:t>
      </w:r>
      <w:proofErr w:type="gramEnd"/>
      <w:r w:rsidRPr="004E5B58">
        <w:rPr>
          <w:b/>
          <w:bCs/>
        </w:rPr>
        <w:t xml:space="preserve"> publication du calendrier de substitution.</w:t>
      </w:r>
    </w:p>
    <w:p w14:paraId="0F4A54FB" w14:textId="77777777" w:rsidR="004E5B58" w:rsidRPr="004E5B58" w:rsidRDefault="004E5B58" w:rsidP="004E5B58">
      <w:pPr>
        <w:rPr>
          <w:b/>
          <w:bCs/>
        </w:rPr>
      </w:pPr>
      <w:r>
        <w:t>Article 5 — Effet juridique</w:t>
      </w:r>
    </w:p>
    <w:p w14:paraId="31AAE3A5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À compter de cet acte, les dispositions constitutionnelles activées ont primauté interne, sous réserve de la continuité juridique prévue.</w:t>
      </w:r>
    </w:p>
    <w:p w14:paraId="03EC0F35" w14:textId="77777777" w:rsidR="004E5B58" w:rsidRPr="004E5B58" w:rsidRDefault="00000000" w:rsidP="004E5B58">
      <w:pPr>
        <w:rPr>
          <w:b/>
          <w:bCs/>
        </w:rPr>
      </w:pPr>
      <w:r>
        <w:rPr>
          <w:b/>
          <w:bCs/>
        </w:rPr>
        <w:pict w14:anchorId="1952DB10">
          <v:rect id="_x0000_i1026" style="width:0;height:1.5pt" o:hralign="center" o:hrstd="t" o:hr="t" fillcolor="#a0a0a0" stroked="f"/>
        </w:pict>
      </w:r>
    </w:p>
    <w:p w14:paraId="121004B3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III. CALENDRIER DE SUBSTITUTION</w:t>
      </w:r>
    </w:p>
    <w:p w14:paraId="0B911375" w14:textId="77777777" w:rsidR="004E5B58" w:rsidRPr="004E5B58" w:rsidRDefault="004E5B58" w:rsidP="004E5B58">
      <w:pPr>
        <w:rPr>
          <w:b/>
          <w:bCs/>
        </w:rPr>
      </w:pPr>
      <w:r>
        <w:t>Article 6 — Principe de progressivité</w:t>
      </w:r>
    </w:p>
    <w:p w14:paraId="57A42D78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Aucune substitution n’est globale ni immédiate.</w:t>
      </w:r>
      <w:r w:rsidRPr="004E5B58">
        <w:rPr>
          <w:b/>
          <w:bCs/>
        </w:rPr>
        <w:br/>
        <w:t>Toute substitution est sectorielle, auditée et réversible techniquement jusqu’à validation finale.</w:t>
      </w:r>
    </w:p>
    <w:p w14:paraId="507136C0" w14:textId="77777777" w:rsidR="004E5B58" w:rsidRPr="004E5B58" w:rsidRDefault="004E5B58" w:rsidP="004E5B58">
      <w:pPr>
        <w:rPr>
          <w:b/>
          <w:bCs/>
        </w:rPr>
      </w:pPr>
      <w:r>
        <w:t>Article 7 — Ordre obligatoire d’activation</w:t>
      </w:r>
    </w:p>
    <w:p w14:paraId="224E3BA5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L’activation suit l’ordre suivant :</w:t>
      </w:r>
    </w:p>
    <w:p w14:paraId="2E52DEE4" w14:textId="77777777" w:rsidR="004E5B58" w:rsidRPr="004E5B58" w:rsidRDefault="004E5B58" w:rsidP="004E5B58">
      <w:pPr>
        <w:numPr>
          <w:ilvl w:val="0"/>
          <w:numId w:val="10"/>
        </w:numPr>
        <w:rPr>
          <w:b/>
          <w:bCs/>
        </w:rPr>
      </w:pPr>
      <w:proofErr w:type="gramStart"/>
      <w:r w:rsidRPr="004E5B58">
        <w:rPr>
          <w:b/>
          <w:bCs/>
        </w:rPr>
        <w:t>principes</w:t>
      </w:r>
      <w:proofErr w:type="gramEnd"/>
      <w:r w:rsidRPr="004E5B58">
        <w:rPr>
          <w:b/>
          <w:bCs/>
        </w:rPr>
        <w:t xml:space="preserve"> constitutionnels fondamentaux ;</w:t>
      </w:r>
    </w:p>
    <w:p w14:paraId="3C3DA247" w14:textId="77777777" w:rsidR="004E5B58" w:rsidRPr="004E5B58" w:rsidRDefault="004E5B58" w:rsidP="004E5B58">
      <w:pPr>
        <w:numPr>
          <w:ilvl w:val="0"/>
          <w:numId w:val="10"/>
        </w:numPr>
        <w:rPr>
          <w:b/>
          <w:bCs/>
        </w:rPr>
      </w:pPr>
      <w:proofErr w:type="gramStart"/>
      <w:r w:rsidRPr="004E5B58">
        <w:rPr>
          <w:b/>
          <w:bCs/>
        </w:rPr>
        <w:lastRenderedPageBreak/>
        <w:t>neutralité</w:t>
      </w:r>
      <w:proofErr w:type="gramEnd"/>
      <w:r w:rsidRPr="004E5B58">
        <w:rPr>
          <w:b/>
          <w:bCs/>
        </w:rPr>
        <w:t xml:space="preserve"> permanente ;</w:t>
      </w:r>
    </w:p>
    <w:p w14:paraId="23874248" w14:textId="77777777" w:rsidR="004E5B58" w:rsidRPr="004E5B58" w:rsidRDefault="004E5B58" w:rsidP="004E5B58">
      <w:pPr>
        <w:numPr>
          <w:ilvl w:val="0"/>
          <w:numId w:val="10"/>
        </w:numPr>
        <w:rPr>
          <w:b/>
          <w:bCs/>
        </w:rPr>
      </w:pPr>
      <w:proofErr w:type="gramStart"/>
      <w:r w:rsidRPr="004E5B58">
        <w:rPr>
          <w:b/>
          <w:bCs/>
        </w:rPr>
        <w:t>intégrité</w:t>
      </w:r>
      <w:proofErr w:type="gramEnd"/>
      <w:r w:rsidRPr="004E5B58">
        <w:rPr>
          <w:b/>
          <w:bCs/>
        </w:rPr>
        <w:t xml:space="preserve"> de l’État ;</w:t>
      </w:r>
    </w:p>
    <w:p w14:paraId="17067862" w14:textId="77777777" w:rsidR="004E5B58" w:rsidRPr="004E5B58" w:rsidRDefault="004E5B58" w:rsidP="004E5B58">
      <w:pPr>
        <w:numPr>
          <w:ilvl w:val="0"/>
          <w:numId w:val="10"/>
        </w:numPr>
        <w:rPr>
          <w:b/>
          <w:bCs/>
        </w:rPr>
      </w:pPr>
      <w:proofErr w:type="gramStart"/>
      <w:r w:rsidRPr="004E5B58">
        <w:rPr>
          <w:b/>
          <w:bCs/>
        </w:rPr>
        <w:t>services</w:t>
      </w:r>
      <w:proofErr w:type="gramEnd"/>
      <w:r w:rsidRPr="004E5B58">
        <w:rPr>
          <w:b/>
          <w:bCs/>
        </w:rPr>
        <w:t xml:space="preserve"> essentiels ;</w:t>
      </w:r>
    </w:p>
    <w:p w14:paraId="6E45123A" w14:textId="77777777" w:rsidR="004E5B58" w:rsidRPr="004E5B58" w:rsidRDefault="004E5B58" w:rsidP="004E5B58">
      <w:pPr>
        <w:numPr>
          <w:ilvl w:val="0"/>
          <w:numId w:val="10"/>
        </w:numPr>
        <w:rPr>
          <w:b/>
          <w:bCs/>
        </w:rPr>
      </w:pPr>
      <w:proofErr w:type="gramStart"/>
      <w:r w:rsidRPr="004E5B58">
        <w:rPr>
          <w:b/>
          <w:bCs/>
        </w:rPr>
        <w:t>justice</w:t>
      </w:r>
      <w:proofErr w:type="gramEnd"/>
      <w:r w:rsidRPr="004E5B58">
        <w:rPr>
          <w:b/>
          <w:bCs/>
        </w:rPr>
        <w:t xml:space="preserve"> et contrôle constitutionnel ;</w:t>
      </w:r>
    </w:p>
    <w:p w14:paraId="6AD937F9" w14:textId="77777777" w:rsidR="004E5B58" w:rsidRPr="004E5B58" w:rsidRDefault="004E5B58" w:rsidP="004E5B58">
      <w:pPr>
        <w:numPr>
          <w:ilvl w:val="0"/>
          <w:numId w:val="10"/>
        </w:numPr>
        <w:rPr>
          <w:b/>
          <w:bCs/>
        </w:rPr>
      </w:pPr>
      <w:proofErr w:type="gramStart"/>
      <w:r w:rsidRPr="004E5B58">
        <w:rPr>
          <w:b/>
          <w:bCs/>
        </w:rPr>
        <w:t>finances</w:t>
      </w:r>
      <w:proofErr w:type="gramEnd"/>
      <w:r w:rsidRPr="004E5B58">
        <w:rPr>
          <w:b/>
          <w:bCs/>
        </w:rPr>
        <w:t xml:space="preserve"> et fiscalité (pré-activation) ;</w:t>
      </w:r>
    </w:p>
    <w:p w14:paraId="2A4543DE" w14:textId="77777777" w:rsidR="004E5B58" w:rsidRPr="004E5B58" w:rsidRDefault="004E5B58" w:rsidP="004E5B58">
      <w:pPr>
        <w:numPr>
          <w:ilvl w:val="0"/>
          <w:numId w:val="10"/>
        </w:numPr>
        <w:rPr>
          <w:b/>
          <w:bCs/>
        </w:rPr>
      </w:pPr>
      <w:proofErr w:type="gramStart"/>
      <w:r w:rsidRPr="004E5B58">
        <w:rPr>
          <w:b/>
          <w:bCs/>
        </w:rPr>
        <w:t>citoyenneté</w:t>
      </w:r>
      <w:proofErr w:type="gramEnd"/>
      <w:r w:rsidRPr="004E5B58">
        <w:rPr>
          <w:b/>
          <w:bCs/>
        </w:rPr>
        <w:t xml:space="preserve"> et élections.</w:t>
      </w:r>
    </w:p>
    <w:p w14:paraId="3E497197" w14:textId="77777777" w:rsidR="004E5B58" w:rsidRPr="004E5B58" w:rsidRDefault="00000000" w:rsidP="004E5B58">
      <w:pPr>
        <w:rPr>
          <w:b/>
          <w:bCs/>
        </w:rPr>
      </w:pPr>
      <w:r>
        <w:rPr>
          <w:b/>
          <w:bCs/>
        </w:rPr>
        <w:pict w14:anchorId="1AAAAA3D">
          <v:rect id="_x0000_i1027" style="width:0;height:1.5pt" o:hralign="center" o:hrstd="t" o:hr="t" fillcolor="#a0a0a0" stroked="f"/>
        </w:pict>
      </w:r>
    </w:p>
    <w:p w14:paraId="229794CF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IV. CONTINUITÉ JURIDIQUE</w:t>
      </w:r>
    </w:p>
    <w:p w14:paraId="2C3492B5" w14:textId="77777777" w:rsidR="004E5B58" w:rsidRPr="004E5B58" w:rsidRDefault="004E5B58" w:rsidP="004E5B58">
      <w:pPr>
        <w:rPr>
          <w:b/>
          <w:bCs/>
        </w:rPr>
      </w:pPr>
      <w:r>
        <w:t>Article 8 — Maintien transitoire du droit antérieur</w:t>
      </w:r>
    </w:p>
    <w:p w14:paraId="77ECE47F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Les normes antérieures demeurent applicables uniquement lorsqu’elles ne sont pas incompatibles avec les dispositions activées.</w:t>
      </w:r>
    </w:p>
    <w:p w14:paraId="5606C58F" w14:textId="77777777" w:rsidR="004E5B58" w:rsidRPr="004E5B58" w:rsidRDefault="004E5B58" w:rsidP="004E5B58">
      <w:pPr>
        <w:rPr>
          <w:b/>
          <w:bCs/>
        </w:rPr>
      </w:pPr>
      <w:r>
        <w:t>Article 9 — Règle de compatibilité</w:t>
      </w:r>
    </w:p>
    <w:p w14:paraId="5CD5EEAA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En cas de conflit, la norme la plus conforme aux principes constitutionnels activés prévaut.</w:t>
      </w:r>
    </w:p>
    <w:p w14:paraId="1631E94B" w14:textId="77777777" w:rsidR="004E5B58" w:rsidRPr="004E5B58" w:rsidRDefault="004E5B58" w:rsidP="004E5B58">
      <w:pPr>
        <w:rPr>
          <w:b/>
          <w:bCs/>
        </w:rPr>
      </w:pPr>
      <w:r>
        <w:t>Article 10 — Sécurité contractuelle</w:t>
      </w:r>
    </w:p>
    <w:p w14:paraId="13CFAD8D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Les contrats, droits acquis et obligations légales sont maintenus jusqu’à leur extinction ou adaptation conforme.</w:t>
      </w:r>
    </w:p>
    <w:p w14:paraId="2141C2C1" w14:textId="77777777" w:rsidR="004E5B58" w:rsidRPr="004E5B58" w:rsidRDefault="00000000" w:rsidP="004E5B58">
      <w:pPr>
        <w:rPr>
          <w:b/>
          <w:bCs/>
        </w:rPr>
      </w:pPr>
      <w:r>
        <w:rPr>
          <w:b/>
          <w:bCs/>
        </w:rPr>
        <w:pict w14:anchorId="2051AD32">
          <v:rect id="_x0000_i1028" style="width:0;height:1.5pt" o:hralign="center" o:hrstd="t" o:hr="t" fillcolor="#a0a0a0" stroked="f"/>
        </w:pict>
      </w:r>
    </w:p>
    <w:p w14:paraId="72D9395B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V. SUBSTITUTION DES AUTORITÉS</w:t>
      </w:r>
    </w:p>
    <w:p w14:paraId="127A50B2" w14:textId="77777777" w:rsidR="004E5B58" w:rsidRPr="004E5B58" w:rsidRDefault="004E5B58" w:rsidP="004E5B58">
      <w:pPr>
        <w:rPr>
          <w:b/>
          <w:bCs/>
        </w:rPr>
      </w:pPr>
      <w:r>
        <w:t>Article 11 — Substitution fonctionnelle</w:t>
      </w:r>
    </w:p>
    <w:p w14:paraId="79768138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Les autorités existantes sont fonctionnellement substituées, sans dissolution brutale.</w:t>
      </w:r>
    </w:p>
    <w:p w14:paraId="52484943" w14:textId="77777777" w:rsidR="004E5B58" w:rsidRPr="004E5B58" w:rsidRDefault="004E5B58" w:rsidP="004E5B58">
      <w:pPr>
        <w:rPr>
          <w:b/>
          <w:bCs/>
        </w:rPr>
      </w:pPr>
      <w:r>
        <w:t>Article 12 — Serment constitutionnel</w:t>
      </w:r>
    </w:p>
    <w:p w14:paraId="3A2F7C5C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Tout titulaire d’une fonction stratégique prête serment à la Constitution du Québec.</w:t>
      </w:r>
    </w:p>
    <w:p w14:paraId="4AC2BA46" w14:textId="77777777" w:rsidR="004E5B58" w:rsidRPr="004E5B58" w:rsidRDefault="004E5B58" w:rsidP="004E5B58">
      <w:pPr>
        <w:rPr>
          <w:b/>
          <w:bCs/>
        </w:rPr>
      </w:pPr>
      <w:r>
        <w:t>Article 13 — Neutralité renforcée</w:t>
      </w:r>
    </w:p>
    <w:p w14:paraId="2B70FC01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Tout refus de neutralité ou tentative de sabotage entraîne suspension immédiate et recours.</w:t>
      </w:r>
    </w:p>
    <w:p w14:paraId="28806D69" w14:textId="77777777" w:rsidR="004E5B58" w:rsidRPr="004E5B58" w:rsidRDefault="00000000" w:rsidP="004E5B58">
      <w:pPr>
        <w:rPr>
          <w:b/>
          <w:bCs/>
        </w:rPr>
      </w:pPr>
      <w:r>
        <w:rPr>
          <w:b/>
          <w:bCs/>
        </w:rPr>
        <w:pict w14:anchorId="786E1221">
          <v:rect id="_x0000_i1029" style="width:0;height:1.5pt" o:hralign="center" o:hrstd="t" o:hr="t" fillcolor="#a0a0a0" stroked="f"/>
        </w:pict>
      </w:r>
    </w:p>
    <w:p w14:paraId="61F20DB7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VI. SERVICES ESSENTIELS (PRIORITÉ ABSOLUE)</w:t>
      </w:r>
    </w:p>
    <w:p w14:paraId="1E0504A4" w14:textId="77777777" w:rsidR="004E5B58" w:rsidRPr="004E5B58" w:rsidRDefault="004E5B58" w:rsidP="004E5B58">
      <w:pPr>
        <w:rPr>
          <w:b/>
          <w:bCs/>
        </w:rPr>
      </w:pPr>
      <w:r>
        <w:t>Article 14 — Verrou de continuité</w:t>
      </w:r>
    </w:p>
    <w:p w14:paraId="418FD547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Aucune modification structurelle ne peut affecter :</w:t>
      </w:r>
    </w:p>
    <w:p w14:paraId="45F5EC7E" w14:textId="77777777" w:rsidR="004E5B58" w:rsidRPr="004E5B58" w:rsidRDefault="004E5B58" w:rsidP="004E5B58">
      <w:pPr>
        <w:numPr>
          <w:ilvl w:val="0"/>
          <w:numId w:val="11"/>
        </w:numPr>
        <w:rPr>
          <w:b/>
          <w:bCs/>
        </w:rPr>
      </w:pPr>
      <w:proofErr w:type="gramStart"/>
      <w:r w:rsidRPr="004E5B58">
        <w:rPr>
          <w:b/>
          <w:bCs/>
        </w:rPr>
        <w:t>santé</w:t>
      </w:r>
      <w:proofErr w:type="gramEnd"/>
      <w:r w:rsidRPr="004E5B58">
        <w:rPr>
          <w:b/>
          <w:bCs/>
        </w:rPr>
        <w:t xml:space="preserve"> ;</w:t>
      </w:r>
    </w:p>
    <w:p w14:paraId="067E869A" w14:textId="77777777" w:rsidR="004E5B58" w:rsidRPr="004E5B58" w:rsidRDefault="004E5B58" w:rsidP="004E5B58">
      <w:pPr>
        <w:numPr>
          <w:ilvl w:val="0"/>
          <w:numId w:val="11"/>
        </w:numPr>
        <w:rPr>
          <w:b/>
          <w:bCs/>
        </w:rPr>
      </w:pPr>
      <w:proofErr w:type="gramStart"/>
      <w:r w:rsidRPr="004E5B58">
        <w:rPr>
          <w:b/>
          <w:bCs/>
        </w:rPr>
        <w:t>sécurité</w:t>
      </w:r>
      <w:proofErr w:type="gramEnd"/>
      <w:r w:rsidRPr="004E5B58">
        <w:rPr>
          <w:b/>
          <w:bCs/>
        </w:rPr>
        <w:t xml:space="preserve"> ;</w:t>
      </w:r>
    </w:p>
    <w:p w14:paraId="3EFE79D8" w14:textId="77777777" w:rsidR="004E5B58" w:rsidRPr="004E5B58" w:rsidRDefault="004E5B58" w:rsidP="004E5B58">
      <w:pPr>
        <w:numPr>
          <w:ilvl w:val="0"/>
          <w:numId w:val="11"/>
        </w:numPr>
        <w:rPr>
          <w:b/>
          <w:bCs/>
        </w:rPr>
      </w:pPr>
      <w:proofErr w:type="gramStart"/>
      <w:r w:rsidRPr="004E5B58">
        <w:rPr>
          <w:b/>
          <w:bCs/>
        </w:rPr>
        <w:t>énergie</w:t>
      </w:r>
      <w:proofErr w:type="gramEnd"/>
      <w:r w:rsidRPr="004E5B58">
        <w:rPr>
          <w:b/>
          <w:bCs/>
        </w:rPr>
        <w:t xml:space="preserve"> ;</w:t>
      </w:r>
    </w:p>
    <w:p w14:paraId="43951A47" w14:textId="77777777" w:rsidR="004E5B58" w:rsidRPr="004E5B58" w:rsidRDefault="004E5B58" w:rsidP="004E5B58">
      <w:pPr>
        <w:numPr>
          <w:ilvl w:val="0"/>
          <w:numId w:val="11"/>
        </w:numPr>
        <w:rPr>
          <w:b/>
          <w:bCs/>
        </w:rPr>
      </w:pPr>
      <w:proofErr w:type="gramStart"/>
      <w:r w:rsidRPr="004E5B58">
        <w:rPr>
          <w:b/>
          <w:bCs/>
        </w:rPr>
        <w:lastRenderedPageBreak/>
        <w:t>eau</w:t>
      </w:r>
      <w:proofErr w:type="gramEnd"/>
      <w:r w:rsidRPr="004E5B58">
        <w:rPr>
          <w:b/>
          <w:bCs/>
        </w:rPr>
        <w:t xml:space="preserve"> ;</w:t>
      </w:r>
    </w:p>
    <w:p w14:paraId="4A1DE238" w14:textId="77777777" w:rsidR="004E5B58" w:rsidRPr="004E5B58" w:rsidRDefault="004E5B58" w:rsidP="004E5B58">
      <w:pPr>
        <w:numPr>
          <w:ilvl w:val="0"/>
          <w:numId w:val="11"/>
        </w:numPr>
        <w:rPr>
          <w:b/>
          <w:bCs/>
        </w:rPr>
      </w:pPr>
      <w:proofErr w:type="gramStart"/>
      <w:r w:rsidRPr="004E5B58">
        <w:rPr>
          <w:b/>
          <w:bCs/>
        </w:rPr>
        <w:t>transports</w:t>
      </w:r>
      <w:proofErr w:type="gramEnd"/>
      <w:r w:rsidRPr="004E5B58">
        <w:rPr>
          <w:b/>
          <w:bCs/>
        </w:rPr>
        <w:t xml:space="preserve"> critiques ;</w:t>
      </w:r>
    </w:p>
    <w:p w14:paraId="777C62AB" w14:textId="77777777" w:rsidR="004E5B58" w:rsidRPr="004E5B58" w:rsidRDefault="004E5B58" w:rsidP="004E5B58">
      <w:pPr>
        <w:numPr>
          <w:ilvl w:val="0"/>
          <w:numId w:val="11"/>
        </w:numPr>
        <w:rPr>
          <w:b/>
          <w:bCs/>
        </w:rPr>
      </w:pPr>
      <w:proofErr w:type="gramStart"/>
      <w:r w:rsidRPr="004E5B58">
        <w:rPr>
          <w:b/>
          <w:bCs/>
        </w:rPr>
        <w:t>communications</w:t>
      </w:r>
      <w:proofErr w:type="gramEnd"/>
      <w:r w:rsidRPr="004E5B58">
        <w:rPr>
          <w:b/>
          <w:bCs/>
        </w:rPr>
        <w:t xml:space="preserve"> d’urgence.</w:t>
      </w:r>
    </w:p>
    <w:p w14:paraId="79E242A3" w14:textId="77777777" w:rsidR="004E5B58" w:rsidRPr="004E5B58" w:rsidRDefault="004E5B58" w:rsidP="004E5B58">
      <w:pPr>
        <w:rPr>
          <w:b/>
          <w:bCs/>
        </w:rPr>
      </w:pPr>
      <w:r>
        <w:t>Article 15 — Intégration opérationnelle</w:t>
      </w:r>
    </w:p>
    <w:p w14:paraId="7823659E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Les services essentiels passent sous cadre souverain interne, sans rupture opérationnelle.</w:t>
      </w:r>
    </w:p>
    <w:p w14:paraId="00FE48BA" w14:textId="77777777" w:rsidR="004E5B58" w:rsidRPr="004E5B58" w:rsidRDefault="00000000" w:rsidP="004E5B58">
      <w:pPr>
        <w:rPr>
          <w:b/>
          <w:bCs/>
        </w:rPr>
      </w:pPr>
      <w:r>
        <w:rPr>
          <w:b/>
          <w:bCs/>
        </w:rPr>
        <w:pict w14:anchorId="31BA7A52">
          <v:rect id="_x0000_i1030" style="width:0;height:1.5pt" o:hralign="center" o:hrstd="t" o:hr="t" fillcolor="#a0a0a0" stroked="f"/>
        </w:pict>
      </w:r>
    </w:p>
    <w:p w14:paraId="3638B175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VII. FINANCES ET FISCALITÉ — TRANSITION</w:t>
      </w:r>
    </w:p>
    <w:p w14:paraId="37FC9D96" w14:textId="77777777" w:rsidR="004E5B58" w:rsidRPr="004E5B58" w:rsidRDefault="004E5B58" w:rsidP="004E5B58">
      <w:pPr>
        <w:rPr>
          <w:b/>
          <w:bCs/>
        </w:rPr>
      </w:pPr>
      <w:r>
        <w:t>Article 16 — Double traçabilité</w:t>
      </w:r>
    </w:p>
    <w:p w14:paraId="71365EC1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Durant la Phase II, une double traçabilité des flux financiers est obligatoire.</w:t>
      </w:r>
    </w:p>
    <w:p w14:paraId="4DDDF518" w14:textId="77777777" w:rsidR="004E5B58" w:rsidRPr="004E5B58" w:rsidRDefault="004E5B58" w:rsidP="004E5B58">
      <w:pPr>
        <w:rPr>
          <w:b/>
          <w:bCs/>
        </w:rPr>
      </w:pPr>
      <w:r>
        <w:t>Article 17 — Fonds tampon</w:t>
      </w:r>
    </w:p>
    <w:p w14:paraId="5710719C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Un fonds de stabilisation est activé pour prévenir toute volatilité.</w:t>
      </w:r>
    </w:p>
    <w:p w14:paraId="2CE349FC" w14:textId="77777777" w:rsidR="004E5B58" w:rsidRPr="004E5B58" w:rsidRDefault="004E5B58" w:rsidP="004E5B58">
      <w:pPr>
        <w:rPr>
          <w:b/>
          <w:bCs/>
        </w:rPr>
      </w:pPr>
      <w:r>
        <w:t>Article 18 — Interdictions</w:t>
      </w:r>
    </w:p>
    <w:p w14:paraId="269A19FF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Sont interdits durant la Phase II :</w:t>
      </w:r>
    </w:p>
    <w:p w14:paraId="00E41020" w14:textId="77777777" w:rsidR="004E5B58" w:rsidRPr="004E5B58" w:rsidRDefault="004E5B58" w:rsidP="004E5B58">
      <w:pPr>
        <w:numPr>
          <w:ilvl w:val="0"/>
          <w:numId w:val="12"/>
        </w:numPr>
        <w:rPr>
          <w:b/>
          <w:bCs/>
        </w:rPr>
      </w:pPr>
      <w:proofErr w:type="gramStart"/>
      <w:r w:rsidRPr="004E5B58">
        <w:rPr>
          <w:b/>
          <w:bCs/>
        </w:rPr>
        <w:t>nouveaux</w:t>
      </w:r>
      <w:proofErr w:type="gramEnd"/>
      <w:r w:rsidRPr="004E5B58">
        <w:rPr>
          <w:b/>
          <w:bCs/>
        </w:rPr>
        <w:t xml:space="preserve"> impôts non autorisés ;</w:t>
      </w:r>
    </w:p>
    <w:p w14:paraId="484B4FDA" w14:textId="77777777" w:rsidR="004E5B58" w:rsidRPr="004E5B58" w:rsidRDefault="004E5B58" w:rsidP="004E5B58">
      <w:pPr>
        <w:numPr>
          <w:ilvl w:val="0"/>
          <w:numId w:val="12"/>
        </w:numPr>
        <w:rPr>
          <w:b/>
          <w:bCs/>
        </w:rPr>
      </w:pPr>
      <w:proofErr w:type="gramStart"/>
      <w:r w:rsidRPr="004E5B58">
        <w:rPr>
          <w:b/>
          <w:bCs/>
        </w:rPr>
        <w:t>dettes</w:t>
      </w:r>
      <w:proofErr w:type="gramEnd"/>
      <w:r w:rsidRPr="004E5B58">
        <w:rPr>
          <w:b/>
          <w:bCs/>
        </w:rPr>
        <w:t xml:space="preserve"> structurelles nouvelles ;</w:t>
      </w:r>
    </w:p>
    <w:p w14:paraId="0C4328D4" w14:textId="77777777" w:rsidR="004E5B58" w:rsidRPr="004E5B58" w:rsidRDefault="004E5B58" w:rsidP="004E5B58">
      <w:pPr>
        <w:numPr>
          <w:ilvl w:val="0"/>
          <w:numId w:val="12"/>
        </w:numPr>
        <w:rPr>
          <w:b/>
          <w:bCs/>
        </w:rPr>
      </w:pPr>
      <w:proofErr w:type="gramStart"/>
      <w:r w:rsidRPr="004E5B58">
        <w:rPr>
          <w:b/>
          <w:bCs/>
        </w:rPr>
        <w:t>engagements</w:t>
      </w:r>
      <w:proofErr w:type="gramEnd"/>
      <w:r w:rsidRPr="004E5B58">
        <w:rPr>
          <w:b/>
          <w:bCs/>
        </w:rPr>
        <w:t xml:space="preserve"> financiers irréversibles.</w:t>
      </w:r>
    </w:p>
    <w:p w14:paraId="078208AA" w14:textId="77777777" w:rsidR="004E5B58" w:rsidRPr="004E5B58" w:rsidRDefault="00000000" w:rsidP="004E5B58">
      <w:pPr>
        <w:rPr>
          <w:b/>
          <w:bCs/>
        </w:rPr>
      </w:pPr>
      <w:r>
        <w:rPr>
          <w:b/>
          <w:bCs/>
        </w:rPr>
        <w:pict w14:anchorId="59F358DB">
          <v:rect id="_x0000_i1031" style="width:0;height:1.5pt" o:hralign="center" o:hrstd="t" o:hr="t" fillcolor="#a0a0a0" stroked="f"/>
        </w:pict>
      </w:r>
    </w:p>
    <w:p w14:paraId="2293055A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VIII. JUSTICE ET RECOURS</w:t>
      </w:r>
    </w:p>
    <w:p w14:paraId="7D410BE2" w14:textId="77777777" w:rsidR="004E5B58" w:rsidRPr="004E5B58" w:rsidRDefault="004E5B58" w:rsidP="004E5B58">
      <w:pPr>
        <w:rPr>
          <w:b/>
          <w:bCs/>
        </w:rPr>
      </w:pPr>
      <w:r>
        <w:t>Article 19 — Continuité juridictionnelle</w:t>
      </w:r>
    </w:p>
    <w:p w14:paraId="4371D42A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Les tribunaux demeurent pleinement opérationnels.</w:t>
      </w:r>
    </w:p>
    <w:p w14:paraId="00E51ADD" w14:textId="77777777" w:rsidR="004E5B58" w:rsidRPr="004E5B58" w:rsidRDefault="004E5B58" w:rsidP="004E5B58">
      <w:pPr>
        <w:rPr>
          <w:b/>
          <w:bCs/>
        </w:rPr>
      </w:pPr>
      <w:r>
        <w:t>Article 20 — Chambre constitutionnelle</w:t>
      </w:r>
    </w:p>
    <w:p w14:paraId="70444E53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Une chambre spécialisée assure le contrôle de conformité des actes de transition.</w:t>
      </w:r>
    </w:p>
    <w:p w14:paraId="077DAF48" w14:textId="77777777" w:rsidR="004E5B58" w:rsidRPr="004E5B58" w:rsidRDefault="004E5B58" w:rsidP="004E5B58">
      <w:pPr>
        <w:rPr>
          <w:b/>
          <w:bCs/>
        </w:rPr>
      </w:pPr>
      <w:r>
        <w:t>Article 21 — Accès citoyen</w:t>
      </w:r>
    </w:p>
    <w:p w14:paraId="7BBA162C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Tout citoyen conserve un accès effectif aux recours.</w:t>
      </w:r>
    </w:p>
    <w:p w14:paraId="2CF19EF4" w14:textId="77777777" w:rsidR="004E5B58" w:rsidRPr="004E5B58" w:rsidRDefault="00000000" w:rsidP="004E5B58">
      <w:pPr>
        <w:rPr>
          <w:b/>
          <w:bCs/>
        </w:rPr>
      </w:pPr>
      <w:r>
        <w:rPr>
          <w:b/>
          <w:bCs/>
        </w:rPr>
        <w:pict w14:anchorId="67A4A4D2">
          <v:rect id="_x0000_i1032" style="width:0;height:1.5pt" o:hralign="center" o:hrstd="t" o:hr="t" fillcolor="#a0a0a0" stroked="f"/>
        </w:pict>
      </w:r>
    </w:p>
    <w:p w14:paraId="4C6BD1FA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IX. SÉCURITÉ ET STABILITÉ</w:t>
      </w:r>
    </w:p>
    <w:p w14:paraId="5F634DC4" w14:textId="77777777" w:rsidR="004E5B58" w:rsidRPr="004E5B58" w:rsidRDefault="004E5B58" w:rsidP="004E5B58">
      <w:pPr>
        <w:rPr>
          <w:b/>
          <w:bCs/>
        </w:rPr>
      </w:pPr>
      <w:r>
        <w:t>Article 22 — Neutralité externe</w:t>
      </w:r>
    </w:p>
    <w:p w14:paraId="7FAB5242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Le Québec ne conclut aucune alliance militaire ni engagement international contraignant.</w:t>
      </w:r>
    </w:p>
    <w:p w14:paraId="6A7FAA0E" w14:textId="77777777" w:rsidR="004E5B58" w:rsidRPr="004E5B58" w:rsidRDefault="004E5B58" w:rsidP="004E5B58">
      <w:pPr>
        <w:rPr>
          <w:b/>
          <w:bCs/>
        </w:rPr>
      </w:pPr>
      <w:r>
        <w:t>Article 23 — Protection du territoire</w:t>
      </w:r>
    </w:p>
    <w:p w14:paraId="3EABD37F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Les fonctions de protection sont renforcées sans escalade.</w:t>
      </w:r>
    </w:p>
    <w:p w14:paraId="60DD8501" w14:textId="77777777" w:rsidR="004E5B58" w:rsidRPr="004E5B58" w:rsidRDefault="004E5B58" w:rsidP="004E5B58">
      <w:pPr>
        <w:rPr>
          <w:b/>
          <w:bCs/>
        </w:rPr>
      </w:pPr>
      <w:r>
        <w:t>Article 24 — Gestion des risques</w:t>
      </w:r>
    </w:p>
    <w:p w14:paraId="2D445759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lastRenderedPageBreak/>
        <w:t>Plans spécifiques activés pour :</w:t>
      </w:r>
    </w:p>
    <w:p w14:paraId="31D7BEF5" w14:textId="77777777" w:rsidR="004E5B58" w:rsidRPr="004E5B58" w:rsidRDefault="004E5B58" w:rsidP="004E5B58">
      <w:pPr>
        <w:numPr>
          <w:ilvl w:val="0"/>
          <w:numId w:val="13"/>
        </w:numPr>
        <w:rPr>
          <w:b/>
          <w:bCs/>
        </w:rPr>
      </w:pPr>
      <w:proofErr w:type="gramStart"/>
      <w:r w:rsidRPr="004E5B58">
        <w:rPr>
          <w:b/>
          <w:bCs/>
        </w:rPr>
        <w:t>pressions</w:t>
      </w:r>
      <w:proofErr w:type="gramEnd"/>
      <w:r w:rsidRPr="004E5B58">
        <w:rPr>
          <w:b/>
          <w:bCs/>
        </w:rPr>
        <w:t xml:space="preserve"> économiques ;</w:t>
      </w:r>
    </w:p>
    <w:p w14:paraId="3CC59DBD" w14:textId="77777777" w:rsidR="004E5B58" w:rsidRPr="004E5B58" w:rsidRDefault="004E5B58" w:rsidP="004E5B58">
      <w:pPr>
        <w:numPr>
          <w:ilvl w:val="0"/>
          <w:numId w:val="13"/>
        </w:numPr>
        <w:rPr>
          <w:b/>
          <w:bCs/>
        </w:rPr>
      </w:pPr>
      <w:proofErr w:type="gramStart"/>
      <w:r w:rsidRPr="004E5B58">
        <w:rPr>
          <w:b/>
          <w:bCs/>
        </w:rPr>
        <w:t>cybermenaces</w:t>
      </w:r>
      <w:proofErr w:type="gramEnd"/>
      <w:r w:rsidRPr="004E5B58">
        <w:rPr>
          <w:b/>
          <w:bCs/>
        </w:rPr>
        <w:t xml:space="preserve"> ;</w:t>
      </w:r>
    </w:p>
    <w:p w14:paraId="0441223F" w14:textId="77777777" w:rsidR="004E5B58" w:rsidRPr="004E5B58" w:rsidRDefault="004E5B58" w:rsidP="004E5B58">
      <w:pPr>
        <w:numPr>
          <w:ilvl w:val="0"/>
          <w:numId w:val="13"/>
        </w:numPr>
        <w:rPr>
          <w:b/>
          <w:bCs/>
        </w:rPr>
      </w:pPr>
      <w:proofErr w:type="gramStart"/>
      <w:r w:rsidRPr="004E5B58">
        <w:rPr>
          <w:b/>
          <w:bCs/>
        </w:rPr>
        <w:t>perturbations</w:t>
      </w:r>
      <w:proofErr w:type="gramEnd"/>
      <w:r w:rsidRPr="004E5B58">
        <w:rPr>
          <w:b/>
          <w:bCs/>
        </w:rPr>
        <w:t xml:space="preserve"> logistiques.</w:t>
      </w:r>
    </w:p>
    <w:p w14:paraId="51CB8268" w14:textId="77777777" w:rsidR="004E5B58" w:rsidRPr="004E5B58" w:rsidRDefault="00000000" w:rsidP="004E5B58">
      <w:pPr>
        <w:rPr>
          <w:b/>
          <w:bCs/>
        </w:rPr>
      </w:pPr>
      <w:r>
        <w:rPr>
          <w:b/>
          <w:bCs/>
        </w:rPr>
        <w:pict w14:anchorId="3253EF45">
          <v:rect id="_x0000_i1033" style="width:0;height:1.5pt" o:hralign="center" o:hrstd="t" o:hr="t" fillcolor="#a0a0a0" stroked="f"/>
        </w:pict>
      </w:r>
    </w:p>
    <w:p w14:paraId="0756C07A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X. COMMUNICATION PUBLIQUE</w:t>
      </w:r>
    </w:p>
    <w:p w14:paraId="2622C2FE" w14:textId="77777777" w:rsidR="004E5B58" w:rsidRPr="004E5B58" w:rsidRDefault="004E5B58" w:rsidP="004E5B58">
      <w:pPr>
        <w:rPr>
          <w:b/>
          <w:bCs/>
        </w:rPr>
      </w:pPr>
      <w:r>
        <w:t>Article 25 — Information continue</w:t>
      </w:r>
    </w:p>
    <w:p w14:paraId="1E9F465E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L’État publie régulièrement :</w:t>
      </w:r>
    </w:p>
    <w:p w14:paraId="5F5B518C" w14:textId="77777777" w:rsidR="004E5B58" w:rsidRPr="004E5B58" w:rsidRDefault="004E5B58" w:rsidP="004E5B58">
      <w:pPr>
        <w:numPr>
          <w:ilvl w:val="0"/>
          <w:numId w:val="14"/>
        </w:numPr>
        <w:rPr>
          <w:b/>
          <w:bCs/>
        </w:rPr>
      </w:pPr>
      <w:proofErr w:type="gramStart"/>
      <w:r w:rsidRPr="004E5B58">
        <w:rPr>
          <w:b/>
          <w:bCs/>
        </w:rPr>
        <w:t>l’état</w:t>
      </w:r>
      <w:proofErr w:type="gramEnd"/>
      <w:r w:rsidRPr="004E5B58">
        <w:rPr>
          <w:b/>
          <w:bCs/>
        </w:rPr>
        <w:t xml:space="preserve"> d’avancement ;</w:t>
      </w:r>
    </w:p>
    <w:p w14:paraId="4D545A0D" w14:textId="77777777" w:rsidR="004E5B58" w:rsidRPr="004E5B58" w:rsidRDefault="004E5B58" w:rsidP="004E5B58">
      <w:pPr>
        <w:numPr>
          <w:ilvl w:val="0"/>
          <w:numId w:val="14"/>
        </w:numPr>
        <w:rPr>
          <w:b/>
          <w:bCs/>
        </w:rPr>
      </w:pPr>
      <w:proofErr w:type="gramStart"/>
      <w:r w:rsidRPr="004E5B58">
        <w:rPr>
          <w:b/>
          <w:bCs/>
        </w:rPr>
        <w:t>les</w:t>
      </w:r>
      <w:proofErr w:type="gramEnd"/>
      <w:r w:rsidRPr="004E5B58">
        <w:rPr>
          <w:b/>
          <w:bCs/>
        </w:rPr>
        <w:t xml:space="preserve"> blocs activés ;</w:t>
      </w:r>
    </w:p>
    <w:p w14:paraId="380F77AB" w14:textId="77777777" w:rsidR="004E5B58" w:rsidRPr="004E5B58" w:rsidRDefault="004E5B58" w:rsidP="004E5B58">
      <w:pPr>
        <w:numPr>
          <w:ilvl w:val="0"/>
          <w:numId w:val="14"/>
        </w:numPr>
        <w:rPr>
          <w:b/>
          <w:bCs/>
        </w:rPr>
      </w:pPr>
      <w:proofErr w:type="gramStart"/>
      <w:r w:rsidRPr="004E5B58">
        <w:rPr>
          <w:b/>
          <w:bCs/>
        </w:rPr>
        <w:t>les</w:t>
      </w:r>
      <w:proofErr w:type="gramEnd"/>
      <w:r w:rsidRPr="004E5B58">
        <w:rPr>
          <w:b/>
          <w:bCs/>
        </w:rPr>
        <w:t xml:space="preserve"> impacts réels.</w:t>
      </w:r>
    </w:p>
    <w:p w14:paraId="446EB7E2" w14:textId="77777777" w:rsidR="004E5B58" w:rsidRPr="004E5B58" w:rsidRDefault="004E5B58" w:rsidP="004E5B58">
      <w:pPr>
        <w:rPr>
          <w:b/>
          <w:bCs/>
        </w:rPr>
      </w:pPr>
      <w:r>
        <w:t>Article 26 — Interdiction de manipulation</w:t>
      </w:r>
    </w:p>
    <w:p w14:paraId="66912DFE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Toute désinformation institutionnelle est interdite.</w:t>
      </w:r>
    </w:p>
    <w:p w14:paraId="6A9E61C1" w14:textId="77777777" w:rsidR="004E5B58" w:rsidRPr="004E5B58" w:rsidRDefault="00000000" w:rsidP="004E5B58">
      <w:pPr>
        <w:rPr>
          <w:b/>
          <w:bCs/>
        </w:rPr>
      </w:pPr>
      <w:r>
        <w:rPr>
          <w:b/>
          <w:bCs/>
        </w:rPr>
        <w:pict w14:anchorId="590F01E2">
          <v:rect id="_x0000_i1034" style="width:0;height:1.5pt" o:hralign="center" o:hrstd="t" o:hr="t" fillcolor="#a0a0a0" stroked="f"/>
        </w:pict>
      </w:r>
    </w:p>
    <w:p w14:paraId="59192C50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XI. VERROUS ANTI-DÉRIVE</w:t>
      </w:r>
    </w:p>
    <w:p w14:paraId="35C5D4ED" w14:textId="77777777" w:rsidR="004E5B58" w:rsidRPr="004E5B58" w:rsidRDefault="004E5B58" w:rsidP="004E5B58">
      <w:pPr>
        <w:rPr>
          <w:b/>
          <w:bCs/>
        </w:rPr>
      </w:pPr>
      <w:r>
        <w:t>Article 27 — Responsabilité personnelle</w:t>
      </w:r>
    </w:p>
    <w:p w14:paraId="0186561A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Tout décideur engage sa responsabilité personnelle en cas de :</w:t>
      </w:r>
    </w:p>
    <w:p w14:paraId="19A1DA4C" w14:textId="77777777" w:rsidR="004E5B58" w:rsidRPr="004E5B58" w:rsidRDefault="004E5B58" w:rsidP="004E5B58">
      <w:pPr>
        <w:numPr>
          <w:ilvl w:val="0"/>
          <w:numId w:val="15"/>
        </w:numPr>
        <w:rPr>
          <w:b/>
          <w:bCs/>
        </w:rPr>
      </w:pPr>
      <w:proofErr w:type="gramStart"/>
      <w:r w:rsidRPr="004E5B58">
        <w:rPr>
          <w:b/>
          <w:bCs/>
        </w:rPr>
        <w:t>dépassement</w:t>
      </w:r>
      <w:proofErr w:type="gramEnd"/>
      <w:r w:rsidRPr="004E5B58">
        <w:rPr>
          <w:b/>
          <w:bCs/>
        </w:rPr>
        <w:t xml:space="preserve"> de mandat ;</w:t>
      </w:r>
    </w:p>
    <w:p w14:paraId="71404796" w14:textId="77777777" w:rsidR="004E5B58" w:rsidRPr="004E5B58" w:rsidRDefault="004E5B58" w:rsidP="004E5B58">
      <w:pPr>
        <w:numPr>
          <w:ilvl w:val="0"/>
          <w:numId w:val="15"/>
        </w:numPr>
        <w:rPr>
          <w:b/>
          <w:bCs/>
        </w:rPr>
      </w:pPr>
      <w:proofErr w:type="gramStart"/>
      <w:r w:rsidRPr="004E5B58">
        <w:rPr>
          <w:b/>
          <w:bCs/>
        </w:rPr>
        <w:t>contournement</w:t>
      </w:r>
      <w:proofErr w:type="gramEnd"/>
      <w:r w:rsidRPr="004E5B58">
        <w:rPr>
          <w:b/>
          <w:bCs/>
        </w:rPr>
        <w:t xml:space="preserve"> du calendrier ;</w:t>
      </w:r>
    </w:p>
    <w:p w14:paraId="4A0730C0" w14:textId="77777777" w:rsidR="004E5B58" w:rsidRPr="004E5B58" w:rsidRDefault="004E5B58" w:rsidP="004E5B58">
      <w:pPr>
        <w:numPr>
          <w:ilvl w:val="0"/>
          <w:numId w:val="15"/>
        </w:numPr>
        <w:rPr>
          <w:b/>
          <w:bCs/>
        </w:rPr>
      </w:pPr>
      <w:proofErr w:type="gramStart"/>
      <w:r w:rsidRPr="004E5B58">
        <w:rPr>
          <w:b/>
          <w:bCs/>
        </w:rPr>
        <w:t>atteinte</w:t>
      </w:r>
      <w:proofErr w:type="gramEnd"/>
      <w:r w:rsidRPr="004E5B58">
        <w:rPr>
          <w:b/>
          <w:bCs/>
        </w:rPr>
        <w:t xml:space="preserve"> à la continuité.</w:t>
      </w:r>
    </w:p>
    <w:p w14:paraId="10E62386" w14:textId="77777777" w:rsidR="004E5B58" w:rsidRPr="004E5B58" w:rsidRDefault="004E5B58" w:rsidP="004E5B58">
      <w:pPr>
        <w:rPr>
          <w:b/>
          <w:bCs/>
        </w:rPr>
      </w:pPr>
      <w:r>
        <w:t>Article 28 — Nullité</w:t>
      </w:r>
    </w:p>
    <w:p w14:paraId="67ED8320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Tout acte pris hors cadre est nul de plein droit.</w:t>
      </w:r>
    </w:p>
    <w:p w14:paraId="1DCC4C5A" w14:textId="77777777" w:rsidR="004E5B58" w:rsidRPr="004E5B58" w:rsidRDefault="00000000" w:rsidP="004E5B58">
      <w:pPr>
        <w:rPr>
          <w:b/>
          <w:bCs/>
        </w:rPr>
      </w:pPr>
      <w:r>
        <w:rPr>
          <w:b/>
          <w:bCs/>
        </w:rPr>
        <w:pict w14:anchorId="2FC81072">
          <v:rect id="_x0000_i1035" style="width:0;height:1.5pt" o:hralign="center" o:hrstd="t" o:hr="t" fillcolor="#a0a0a0" stroked="f"/>
        </w:pict>
      </w:r>
    </w:p>
    <w:p w14:paraId="4199D77C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XII. CONDITIONS DE SORTIE DE LA PHASE II</w:t>
      </w:r>
    </w:p>
    <w:p w14:paraId="45EC9221" w14:textId="77777777" w:rsidR="004E5B58" w:rsidRPr="004E5B58" w:rsidRDefault="004E5B58" w:rsidP="004E5B58">
      <w:pPr>
        <w:rPr>
          <w:b/>
          <w:bCs/>
        </w:rPr>
      </w:pPr>
      <w:r>
        <w:t>Article 29 — Conditions cumulatives</w:t>
      </w:r>
    </w:p>
    <w:p w14:paraId="1FAECCEA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t>La Phase II prend fin uniquement lorsque :</w:t>
      </w:r>
    </w:p>
    <w:p w14:paraId="0FF7E715" w14:textId="77777777" w:rsidR="004E5B58" w:rsidRPr="004E5B58" w:rsidRDefault="004E5B58" w:rsidP="004E5B58">
      <w:pPr>
        <w:numPr>
          <w:ilvl w:val="0"/>
          <w:numId w:val="16"/>
        </w:numPr>
        <w:rPr>
          <w:b/>
          <w:bCs/>
        </w:rPr>
      </w:pPr>
      <w:proofErr w:type="gramStart"/>
      <w:r w:rsidRPr="004E5B58">
        <w:rPr>
          <w:b/>
          <w:bCs/>
        </w:rPr>
        <w:t>toutes</w:t>
      </w:r>
      <w:proofErr w:type="gramEnd"/>
      <w:r w:rsidRPr="004E5B58">
        <w:rPr>
          <w:b/>
          <w:bCs/>
        </w:rPr>
        <w:t xml:space="preserve"> les compétences internes sont effectives ;</w:t>
      </w:r>
    </w:p>
    <w:p w14:paraId="3468BB57" w14:textId="77777777" w:rsidR="004E5B58" w:rsidRPr="004E5B58" w:rsidRDefault="004E5B58" w:rsidP="004E5B58">
      <w:pPr>
        <w:numPr>
          <w:ilvl w:val="0"/>
          <w:numId w:val="16"/>
        </w:numPr>
        <w:rPr>
          <w:b/>
          <w:bCs/>
        </w:rPr>
      </w:pPr>
      <w:proofErr w:type="gramStart"/>
      <w:r w:rsidRPr="004E5B58">
        <w:rPr>
          <w:b/>
          <w:bCs/>
        </w:rPr>
        <w:t>la</w:t>
      </w:r>
      <w:proofErr w:type="gramEnd"/>
      <w:r w:rsidRPr="004E5B58">
        <w:rPr>
          <w:b/>
          <w:bCs/>
        </w:rPr>
        <w:t xml:space="preserve"> fiscalité unique est prête ;</w:t>
      </w:r>
    </w:p>
    <w:p w14:paraId="30E7C09D" w14:textId="77777777" w:rsidR="004E5B58" w:rsidRPr="004E5B58" w:rsidRDefault="004E5B58" w:rsidP="004E5B58">
      <w:pPr>
        <w:numPr>
          <w:ilvl w:val="0"/>
          <w:numId w:val="16"/>
        </w:numPr>
        <w:rPr>
          <w:b/>
          <w:bCs/>
        </w:rPr>
      </w:pPr>
      <w:proofErr w:type="gramStart"/>
      <w:r w:rsidRPr="004E5B58">
        <w:rPr>
          <w:b/>
          <w:bCs/>
        </w:rPr>
        <w:t>le</w:t>
      </w:r>
      <w:proofErr w:type="gramEnd"/>
      <w:r w:rsidRPr="004E5B58">
        <w:rPr>
          <w:b/>
          <w:bCs/>
        </w:rPr>
        <w:t xml:space="preserve"> corpus juridique est pleinement activé ;</w:t>
      </w:r>
    </w:p>
    <w:p w14:paraId="45D50FDE" w14:textId="77777777" w:rsidR="004E5B58" w:rsidRPr="004E5B58" w:rsidRDefault="004E5B58" w:rsidP="004E5B58">
      <w:pPr>
        <w:numPr>
          <w:ilvl w:val="0"/>
          <w:numId w:val="16"/>
        </w:numPr>
        <w:rPr>
          <w:b/>
          <w:bCs/>
        </w:rPr>
      </w:pPr>
      <w:proofErr w:type="gramStart"/>
      <w:r w:rsidRPr="004E5B58">
        <w:rPr>
          <w:b/>
          <w:bCs/>
        </w:rPr>
        <w:t>les</w:t>
      </w:r>
      <w:proofErr w:type="gramEnd"/>
      <w:r w:rsidRPr="004E5B58">
        <w:rPr>
          <w:b/>
          <w:bCs/>
        </w:rPr>
        <w:t xml:space="preserve"> audits finaux sont validés.</w:t>
      </w:r>
    </w:p>
    <w:p w14:paraId="19CE8068" w14:textId="77777777" w:rsidR="004E5B58" w:rsidRPr="004E5B58" w:rsidRDefault="004E5B58" w:rsidP="004E5B58">
      <w:pPr>
        <w:rPr>
          <w:b/>
          <w:bCs/>
        </w:rPr>
      </w:pPr>
      <w:r>
        <w:t>Article 30 — Passage à la Phase III</w:t>
      </w:r>
    </w:p>
    <w:p w14:paraId="2220D792" w14:textId="77777777" w:rsidR="004E5B58" w:rsidRPr="004E5B58" w:rsidRDefault="004E5B58" w:rsidP="004E5B58">
      <w:pPr>
        <w:rPr>
          <w:b/>
          <w:bCs/>
        </w:rPr>
      </w:pPr>
      <w:r w:rsidRPr="004E5B58">
        <w:rPr>
          <w:b/>
          <w:bCs/>
        </w:rPr>
        <w:lastRenderedPageBreak/>
        <w:t>La sortie de la Phase II est constatée par un acte officiel proclamant la pleine souveraineté.</w:t>
      </w:r>
      <w:r w:rsidR="00000000">
        <w:rPr>
          <w:b/>
          <w:bCs/>
        </w:rPr>
        <w:pict w14:anchorId="292BBAFC">
          <v:rect id="_x0000_i1036" style="width:0;height:1.5pt" o:hralign="center" o:hrstd="t" o:hr="t" fillcolor="#a0a0a0" stroked="f"/>
        </w:pict>
      </w:r>
    </w:p>
    <w:sectPr w:rsidR="004E5B58" w:rsidRPr="004E5B58" w:rsidSect="00402B45">
      <w:pgSz w:w="12240" w:h="15840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FB0"/>
    <w:multiLevelType w:val="multilevel"/>
    <w:tmpl w:val="169CA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D6E42"/>
    <w:multiLevelType w:val="multilevel"/>
    <w:tmpl w:val="6B5E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95414"/>
    <w:multiLevelType w:val="multilevel"/>
    <w:tmpl w:val="836C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1799B"/>
    <w:multiLevelType w:val="multilevel"/>
    <w:tmpl w:val="E3885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26446F"/>
    <w:multiLevelType w:val="multilevel"/>
    <w:tmpl w:val="332E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D70AD"/>
    <w:multiLevelType w:val="multilevel"/>
    <w:tmpl w:val="E626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C60AC"/>
    <w:multiLevelType w:val="multilevel"/>
    <w:tmpl w:val="FAD0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95C9A"/>
    <w:multiLevelType w:val="multilevel"/>
    <w:tmpl w:val="A0267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3D2D04"/>
    <w:multiLevelType w:val="multilevel"/>
    <w:tmpl w:val="6C0A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2222A"/>
    <w:multiLevelType w:val="multilevel"/>
    <w:tmpl w:val="BFA4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97379D"/>
    <w:multiLevelType w:val="multilevel"/>
    <w:tmpl w:val="A3B0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240939"/>
    <w:multiLevelType w:val="multilevel"/>
    <w:tmpl w:val="1BE6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6E6DA6"/>
    <w:multiLevelType w:val="multilevel"/>
    <w:tmpl w:val="833A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7A710F"/>
    <w:multiLevelType w:val="multilevel"/>
    <w:tmpl w:val="2F68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1D6897"/>
    <w:multiLevelType w:val="multilevel"/>
    <w:tmpl w:val="4ABE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F859FA"/>
    <w:multiLevelType w:val="multilevel"/>
    <w:tmpl w:val="08D2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941150">
    <w:abstractNumId w:val="15"/>
  </w:num>
  <w:num w:numId="2" w16cid:durableId="1963151587">
    <w:abstractNumId w:val="9"/>
  </w:num>
  <w:num w:numId="3" w16cid:durableId="499929844">
    <w:abstractNumId w:val="12"/>
  </w:num>
  <w:num w:numId="4" w16cid:durableId="2031565005">
    <w:abstractNumId w:val="1"/>
  </w:num>
  <w:num w:numId="5" w16cid:durableId="1111558721">
    <w:abstractNumId w:val="14"/>
  </w:num>
  <w:num w:numId="6" w16cid:durableId="489755143">
    <w:abstractNumId w:val="2"/>
  </w:num>
  <w:num w:numId="7" w16cid:durableId="2065055305">
    <w:abstractNumId w:val="11"/>
  </w:num>
  <w:num w:numId="8" w16cid:durableId="1259868389">
    <w:abstractNumId w:val="7"/>
  </w:num>
  <w:num w:numId="9" w16cid:durableId="809249294">
    <w:abstractNumId w:val="3"/>
  </w:num>
  <w:num w:numId="10" w16cid:durableId="1095633397">
    <w:abstractNumId w:val="0"/>
  </w:num>
  <w:num w:numId="11" w16cid:durableId="519666211">
    <w:abstractNumId w:val="4"/>
  </w:num>
  <w:num w:numId="12" w16cid:durableId="94056175">
    <w:abstractNumId w:val="10"/>
  </w:num>
  <w:num w:numId="13" w16cid:durableId="254285859">
    <w:abstractNumId w:val="8"/>
  </w:num>
  <w:num w:numId="14" w16cid:durableId="1389722810">
    <w:abstractNumId w:val="6"/>
  </w:num>
  <w:num w:numId="15" w16cid:durableId="992640604">
    <w:abstractNumId w:val="5"/>
  </w:num>
  <w:num w:numId="16" w16cid:durableId="15270634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B1"/>
    <w:rsid w:val="000364DF"/>
    <w:rsid w:val="00287FBE"/>
    <w:rsid w:val="002951B1"/>
    <w:rsid w:val="00402B45"/>
    <w:rsid w:val="004E5B58"/>
    <w:rsid w:val="00647876"/>
    <w:rsid w:val="007B55F3"/>
    <w:rsid w:val="009B02CE"/>
    <w:rsid w:val="00B23448"/>
    <w:rsid w:val="00EC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A5BA"/>
  <w15:chartTrackingRefBased/>
  <w15:docId w15:val="{988D06EF-E3C1-46F1-9427-A9A5282B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B58"/>
  </w:style>
  <w:style w:type="paragraph" w:styleId="Titre1">
    <w:name w:val="heading 1"/>
    <w:basedOn w:val="Normal"/>
    <w:next w:val="Normal"/>
    <w:link w:val="Titre1Car"/>
    <w:uiPriority w:val="9"/>
    <w:qFormat/>
    <w:rsid w:val="00295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5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5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5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5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5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5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5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5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5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5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5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51B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51B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51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51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51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51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5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5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5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5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5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51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51B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51B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5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51B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51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725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Cantin</dc:creator>
  <cp:keywords/>
  <dc:description/>
  <cp:lastModifiedBy>Benoit Cantin</cp:lastModifiedBy>
  <cp:revision>4</cp:revision>
  <dcterms:created xsi:type="dcterms:W3CDTF">2026-01-25T01:52:00Z</dcterms:created>
  <dcterms:modified xsi:type="dcterms:W3CDTF">2026-01-25T02:28:00Z</dcterms:modified>
</cp:coreProperties>
</file>